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66D6" w14:textId="77777777" w:rsidR="00E62408" w:rsidRDefault="00E62408" w:rsidP="00E62408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Educational Service Center of Central Ohio</w:t>
      </w:r>
    </w:p>
    <w:p w14:paraId="43760F63" w14:textId="77777777" w:rsidR="00E62408" w:rsidRDefault="00E62408" w:rsidP="00E62408">
      <w:pPr>
        <w:spacing w:after="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Employee Position Description and Responsibilities</w:t>
      </w:r>
    </w:p>
    <w:p w14:paraId="2339152B" w14:textId="77777777" w:rsidR="00E62408" w:rsidRDefault="00E62408" w:rsidP="00E62408">
      <w:pPr>
        <w:spacing w:after="0"/>
        <w:jc w:val="center"/>
        <w:rPr>
          <w:rFonts w:ascii="Arial" w:eastAsia="Arial" w:hAnsi="Arial" w:cs="Arial"/>
        </w:rPr>
      </w:pPr>
    </w:p>
    <w:p w14:paraId="5FEDE20B" w14:textId="77777777" w:rsidR="00E62408" w:rsidRDefault="00E62408" w:rsidP="00E6240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Organization: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State Support Team Region 11 </w:t>
      </w:r>
    </w:p>
    <w:p w14:paraId="4405AE84" w14:textId="77777777" w:rsidR="00E62408" w:rsidRDefault="00E62408" w:rsidP="00E62408">
      <w:pPr>
        <w:spacing w:after="0"/>
        <w:rPr>
          <w:rFonts w:ascii="Arial" w:eastAsia="Arial" w:hAnsi="Arial" w:cs="Arial"/>
        </w:rPr>
      </w:pPr>
    </w:p>
    <w:p w14:paraId="2904D4B9" w14:textId="0EB945B1" w:rsidR="00E62408" w:rsidRDefault="00E62408" w:rsidP="00E6240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 Title: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Urban Mathematics Specialist- SST Consultant</w:t>
      </w:r>
    </w:p>
    <w:p w14:paraId="39617DB9" w14:textId="77777777" w:rsidR="00E62408" w:rsidRDefault="00E62408" w:rsidP="00E62408">
      <w:pPr>
        <w:spacing w:after="0"/>
        <w:rPr>
          <w:rFonts w:ascii="Arial" w:eastAsia="Arial" w:hAnsi="Arial" w:cs="Arial"/>
        </w:rPr>
      </w:pPr>
    </w:p>
    <w:p w14:paraId="6C20E4BE" w14:textId="77777777" w:rsidR="00E62408" w:rsidRDefault="00E62408" w:rsidP="00E6240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Category: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Certified; Administration</w:t>
      </w:r>
    </w:p>
    <w:p w14:paraId="44F43240" w14:textId="77777777" w:rsidR="00E62408" w:rsidRDefault="00E62408" w:rsidP="00E62408">
      <w:pPr>
        <w:spacing w:after="0"/>
        <w:rPr>
          <w:rFonts w:ascii="Arial" w:eastAsia="Arial" w:hAnsi="Arial" w:cs="Arial"/>
        </w:rPr>
      </w:pPr>
    </w:p>
    <w:p w14:paraId="6738AA5F" w14:textId="4416DD76" w:rsidR="00E62408" w:rsidRPr="00C4563B" w:rsidRDefault="00E62408" w:rsidP="00E62408">
      <w:pPr>
        <w:spacing w:after="0"/>
        <w:ind w:left="2160" w:hanging="2160"/>
        <w:rPr>
          <w:rFonts w:ascii="Arial" w:eastAsia="Arial" w:hAnsi="Arial" w:cs="Arial"/>
        </w:rPr>
      </w:pPr>
      <w:r w:rsidRPr="00090D4E">
        <w:rPr>
          <w:rFonts w:ascii="Arial" w:eastAsia="Arial" w:hAnsi="Arial" w:cs="Arial"/>
        </w:rPr>
        <w:t xml:space="preserve">Job Objectives: </w:t>
      </w:r>
      <w:r>
        <w:rPr>
          <w:rFonts w:ascii="Arial" w:eastAsia="Arial" w:hAnsi="Arial" w:cs="Arial"/>
        </w:rPr>
        <w:tab/>
      </w:r>
      <w:r w:rsidRPr="00C4563B">
        <w:rPr>
          <w:rFonts w:ascii="Arial" w:eastAsia="Arial" w:hAnsi="Arial" w:cs="Arial"/>
        </w:rPr>
        <w:t xml:space="preserve">State Support Team Region </w:t>
      </w:r>
      <w:r>
        <w:rPr>
          <w:rFonts w:ascii="Arial" w:eastAsia="Arial" w:hAnsi="Arial" w:cs="Arial"/>
        </w:rPr>
        <w:t>11</w:t>
      </w:r>
      <w:r w:rsidRPr="00C4563B">
        <w:rPr>
          <w:rFonts w:ascii="Arial" w:eastAsia="Arial" w:hAnsi="Arial" w:cs="Arial"/>
        </w:rPr>
        <w:t xml:space="preserve"> seeks an educational consultant with expertise in mathematics instruction to </w:t>
      </w:r>
      <w:r w:rsidRPr="00CB0BF5">
        <w:rPr>
          <w:rFonts w:ascii="Arial" w:eastAsia="Arial" w:hAnsi="Arial" w:cs="Arial"/>
          <w:b/>
          <w:bCs/>
        </w:rPr>
        <w:t>serve within a district that is part of the 11 District Plan</w:t>
      </w:r>
      <w:r w:rsidRPr="00C4563B">
        <w:rPr>
          <w:rFonts w:ascii="Arial" w:eastAsia="Arial" w:hAnsi="Arial" w:cs="Arial"/>
        </w:rPr>
        <w:t xml:space="preserve"> in implementing high-quality, evidence-based math instruction aligned to Ohio’s Plan for K-12 Mathematics. This position focuses on building local capacity for instructional improvement by providing professional learning, technical assistance, and coaching across PK–12 settings.</w:t>
      </w:r>
      <w:r w:rsidR="00CB0BF5">
        <w:rPr>
          <w:rFonts w:ascii="Arial" w:eastAsia="Arial" w:hAnsi="Arial" w:cs="Arial"/>
        </w:rPr>
        <w:t xml:space="preserve">  The minimum qualifications of the personnel </w:t>
      </w:r>
      <w:r w:rsidR="001A29DF">
        <w:rPr>
          <w:rFonts w:ascii="Arial" w:eastAsia="Arial" w:hAnsi="Arial" w:cs="Arial"/>
        </w:rPr>
        <w:t>will</w:t>
      </w:r>
      <w:r w:rsidR="00CB0BF5">
        <w:rPr>
          <w:rFonts w:ascii="Arial" w:eastAsia="Arial" w:hAnsi="Arial" w:cs="Arial"/>
        </w:rPr>
        <w:t xml:space="preserve"> </w:t>
      </w:r>
      <w:r w:rsidR="00961F7C">
        <w:rPr>
          <w:rFonts w:ascii="Arial" w:eastAsia="Arial" w:hAnsi="Arial" w:cs="Arial"/>
        </w:rPr>
        <w:t xml:space="preserve">focus on </w:t>
      </w:r>
      <w:r w:rsidR="00CB0BF5">
        <w:rPr>
          <w:rFonts w:ascii="Arial" w:eastAsia="Arial" w:hAnsi="Arial" w:cs="Arial"/>
        </w:rPr>
        <w:t xml:space="preserve">Tier 1 core instruction and Tier </w:t>
      </w:r>
      <w:r w:rsidR="00961F7C">
        <w:rPr>
          <w:rFonts w:ascii="Arial" w:eastAsia="Arial" w:hAnsi="Arial" w:cs="Arial"/>
        </w:rPr>
        <w:t xml:space="preserve">2&amp;3 interventions with data-based individualization. </w:t>
      </w:r>
    </w:p>
    <w:p w14:paraId="03ECF8A6" w14:textId="77777777" w:rsidR="00E62408" w:rsidRDefault="00E62408" w:rsidP="00E62408">
      <w:pPr>
        <w:spacing w:after="0"/>
        <w:ind w:left="2160" w:hanging="2160"/>
        <w:rPr>
          <w:rFonts w:ascii="Arial" w:eastAsia="Arial" w:hAnsi="Arial" w:cs="Arial"/>
        </w:rPr>
      </w:pPr>
    </w:p>
    <w:p w14:paraId="68E0ABE2" w14:textId="61D06396" w:rsidR="004647F3" w:rsidRPr="004647F3" w:rsidRDefault="00E62408" w:rsidP="004647F3">
      <w:pPr>
        <w:spacing w:after="0"/>
        <w:ind w:left="2160" w:hanging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Qualifications:</w:t>
      </w:r>
      <w:r>
        <w:rPr>
          <w:rFonts w:ascii="Arial" w:eastAsia="Arial" w:hAnsi="Arial" w:cs="Arial"/>
        </w:rPr>
        <w:tab/>
        <w:t xml:space="preserve">The following </w:t>
      </w:r>
      <w:r w:rsidR="006611BA">
        <w:rPr>
          <w:rFonts w:ascii="Arial" w:eastAsia="Arial" w:hAnsi="Arial" w:cs="Arial"/>
        </w:rPr>
        <w:t xml:space="preserve">are preferred </w:t>
      </w:r>
      <w:r>
        <w:rPr>
          <w:rFonts w:ascii="Arial" w:eastAsia="Arial" w:hAnsi="Arial" w:cs="Arial"/>
        </w:rPr>
        <w:t xml:space="preserve">qualifications </w:t>
      </w:r>
      <w:r w:rsidR="006611BA">
        <w:rPr>
          <w:rFonts w:ascii="Arial" w:eastAsia="Arial" w:hAnsi="Arial" w:cs="Arial"/>
        </w:rPr>
        <w:t>of the personnel</w:t>
      </w:r>
      <w:r>
        <w:rPr>
          <w:rFonts w:ascii="Arial" w:eastAsia="Arial" w:hAnsi="Arial" w:cs="Arial"/>
        </w:rPr>
        <w:t>:</w:t>
      </w:r>
    </w:p>
    <w:p w14:paraId="0E2EDF30" w14:textId="3E7B0D20" w:rsidR="004647F3" w:rsidRPr="004647F3" w:rsidRDefault="004647F3" w:rsidP="00464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A </w:t>
      </w:r>
      <w:r w:rsidR="006611BA">
        <w:rPr>
          <w:rFonts w:ascii="Arial" w:eastAsia="Arial" w:hAnsi="Arial" w:cs="Arial"/>
        </w:rPr>
        <w:t>master’s degree in mathematics</w:t>
      </w:r>
      <w:r w:rsidRPr="004647F3">
        <w:rPr>
          <w:rFonts w:ascii="Arial" w:eastAsia="Arial" w:hAnsi="Arial" w:cs="Arial"/>
        </w:rPr>
        <w:t xml:space="preserve">, mathematics education, or a related field (curriculum, administration, etc.). </w:t>
      </w:r>
    </w:p>
    <w:p w14:paraId="3734DEFF" w14:textId="77777777" w:rsidR="004647F3" w:rsidRPr="004647F3" w:rsidRDefault="004647F3" w:rsidP="00464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Experience providing instruction in special education, with a master’s degree in special education/intervention specialist license. </w:t>
      </w:r>
    </w:p>
    <w:p w14:paraId="025BBD13" w14:textId="77777777" w:rsidR="004647F3" w:rsidRPr="004647F3" w:rsidRDefault="004647F3" w:rsidP="00464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Experience providing instruction to individuals with dyscalculia or individuals experiencing mathematics difficulties. </w:t>
      </w:r>
    </w:p>
    <w:p w14:paraId="14712C9D" w14:textId="77777777" w:rsidR="004647F3" w:rsidRPr="004647F3" w:rsidRDefault="004647F3" w:rsidP="00464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Experience providing and coaching for mathematics instruction. </w:t>
      </w:r>
    </w:p>
    <w:p w14:paraId="54C94B0B" w14:textId="77777777" w:rsidR="004647F3" w:rsidRPr="004647F3" w:rsidRDefault="004647F3" w:rsidP="00464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Experience facilitating and interpreting screening measures for identifying students at risk for mathematics failure. </w:t>
      </w:r>
    </w:p>
    <w:p w14:paraId="34133601" w14:textId="1E806454" w:rsidR="004647F3" w:rsidRPr="004647F3" w:rsidRDefault="004647F3" w:rsidP="00661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 xml:space="preserve">Familiarity with Ohio Materials Matter and its role in supporting high-quality instructional resources. </w:t>
      </w:r>
    </w:p>
    <w:p w14:paraId="7FA4705A" w14:textId="77777777" w:rsidR="00015234" w:rsidRDefault="004647F3" w:rsidP="00015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647F3">
        <w:rPr>
          <w:rFonts w:ascii="Arial" w:eastAsia="Arial" w:hAnsi="Arial" w:cs="Arial"/>
        </w:rPr>
        <w:t>Experience facilitating or participating in plan-do-study-act cycles (i.e., collaborative problem-solving model, etc.)</w:t>
      </w:r>
    </w:p>
    <w:p w14:paraId="26217D75" w14:textId="09A81A2E" w:rsidR="004647F3" w:rsidRPr="00015234" w:rsidRDefault="00015234" w:rsidP="00015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015234">
        <w:rPr>
          <w:rFonts w:ascii="Arial" w:eastAsia="Arial" w:hAnsi="Arial" w:cs="Arial"/>
          <w:color w:val="000000"/>
        </w:rPr>
        <w:t>Other duties and responsibilities as assigned by the SST Director</w:t>
      </w:r>
      <w:r w:rsidRPr="00015234">
        <w:rPr>
          <w:rFonts w:ascii="Arial" w:eastAsia="Arial" w:hAnsi="Arial" w:cs="Arial"/>
        </w:rPr>
        <w:t xml:space="preserve">. </w:t>
      </w:r>
    </w:p>
    <w:p w14:paraId="723899BC" w14:textId="77777777" w:rsidR="00341F87" w:rsidRDefault="00341F87" w:rsidP="00E6240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rPr>
          <w:rFonts w:ascii="Arial" w:eastAsia="Arial" w:hAnsi="Arial" w:cs="Arial"/>
        </w:rPr>
      </w:pPr>
    </w:p>
    <w:p w14:paraId="34E21BF1" w14:textId="77777777" w:rsidR="00341F87" w:rsidRPr="002E2DE1" w:rsidRDefault="00341F87" w:rsidP="00015234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b/>
          <w:bCs/>
          <w:sz w:val="22"/>
          <w:szCs w:val="22"/>
        </w:rPr>
        <w:t xml:space="preserve">KNOWLEDGE </w:t>
      </w:r>
    </w:p>
    <w:p w14:paraId="6156C2F1" w14:textId="77777777" w:rsidR="00341F87" w:rsidRPr="002E2DE1" w:rsidRDefault="00341F87" w:rsidP="00015234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 thorough understanding of the following is essential: </w:t>
      </w:r>
    </w:p>
    <w:p w14:paraId="58818D73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Mathematics acquisition, assessment, and instruction. </w:t>
      </w:r>
    </w:p>
    <w:p w14:paraId="7D1C5A9A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Effective strategies for mathematic instruction, aligned with the research on the most effective teaching strategies. </w:t>
      </w:r>
    </w:p>
    <w:p w14:paraId="43CCC061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Explicit mathematics instruction. </w:t>
      </w:r>
    </w:p>
    <w:p w14:paraId="20FD1B70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Ohio’s Learning Standards in Mathematics. </w:t>
      </w:r>
    </w:p>
    <w:p w14:paraId="29125521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Standards for Mathematical Practice. </w:t>
      </w:r>
    </w:p>
    <w:p w14:paraId="3F58AABB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Effective Mathematics Teaching Practices. </w:t>
      </w:r>
    </w:p>
    <w:p w14:paraId="479A964F" w14:textId="77777777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Instructional coaching practices and strategies for supporting adult learners. </w:t>
      </w:r>
    </w:p>
    <w:p w14:paraId="2CF425A0" w14:textId="77777777" w:rsidR="00015234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Data-driven decision-making to support all learners through a multi- tiered system of support. </w:t>
      </w:r>
    </w:p>
    <w:p w14:paraId="60517610" w14:textId="50A6E035" w:rsidR="00341F87" w:rsidRPr="002E2DE1" w:rsidRDefault="00341F87" w:rsidP="00015234">
      <w:pPr>
        <w:pStyle w:val="Default"/>
        <w:numPr>
          <w:ilvl w:val="0"/>
          <w:numId w:val="7"/>
        </w:numPr>
        <w:spacing w:after="30"/>
        <w:ind w:left="288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lastRenderedPageBreak/>
        <w:t xml:space="preserve">Universal Design for Learning educational framework. </w:t>
      </w:r>
    </w:p>
    <w:p w14:paraId="302B2572" w14:textId="77777777" w:rsidR="00341F87" w:rsidRPr="002E2DE1" w:rsidRDefault="00341F87" w:rsidP="00341F87">
      <w:pPr>
        <w:pStyle w:val="Default"/>
        <w:rPr>
          <w:rFonts w:ascii="Arial" w:hAnsi="Arial" w:cs="Arial"/>
          <w:sz w:val="22"/>
          <w:szCs w:val="22"/>
        </w:rPr>
      </w:pPr>
    </w:p>
    <w:p w14:paraId="024853E5" w14:textId="77777777" w:rsidR="00341F87" w:rsidRPr="002E2DE1" w:rsidRDefault="00341F87" w:rsidP="00015234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b/>
          <w:bCs/>
          <w:sz w:val="22"/>
          <w:szCs w:val="22"/>
        </w:rPr>
        <w:t xml:space="preserve">SKILLS </w:t>
      </w:r>
    </w:p>
    <w:p w14:paraId="2BC724A0" w14:textId="77777777" w:rsidR="00341F87" w:rsidRPr="002E2DE1" w:rsidRDefault="00341F87" w:rsidP="00015234">
      <w:pPr>
        <w:pStyle w:val="Default"/>
        <w:ind w:firstLine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 thorough understanding of the following is essential: </w:t>
      </w:r>
    </w:p>
    <w:p w14:paraId="11D4DCF4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Delivering effective mathematics instruction in grades K-5 as well as intervention K-12. </w:t>
      </w:r>
    </w:p>
    <w:p w14:paraId="2E2D4A6B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Administering assessments and measures of essential mathematics skills, interpreting results, and using data to drive instruction. </w:t>
      </w:r>
    </w:p>
    <w:p w14:paraId="1A8CB32E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Ability to rapidly acquire and apply new skills and information. </w:t>
      </w:r>
    </w:p>
    <w:p w14:paraId="22C2AA0E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Ability to provide and receive effective instructional feedback. </w:t>
      </w:r>
    </w:p>
    <w:p w14:paraId="2102935C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Ability to prioritize, schedule, manage, and organize multiple daily tasks to achieve goals. </w:t>
      </w:r>
    </w:p>
    <w:p w14:paraId="7ADBF3B4" w14:textId="77777777" w:rsidR="00341F87" w:rsidRPr="002E2DE1" w:rsidRDefault="00341F87" w:rsidP="00015234">
      <w:pPr>
        <w:pStyle w:val="Default"/>
        <w:numPr>
          <w:ilvl w:val="0"/>
          <w:numId w:val="10"/>
        </w:numPr>
        <w:spacing w:after="37"/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Ability to identify problems and develop appropriate solutions. </w:t>
      </w:r>
    </w:p>
    <w:p w14:paraId="632144F0" w14:textId="77777777" w:rsidR="00341F87" w:rsidRPr="002E2DE1" w:rsidRDefault="00341F87" w:rsidP="00015234">
      <w:pPr>
        <w:pStyle w:val="Default"/>
        <w:numPr>
          <w:ilvl w:val="0"/>
          <w:numId w:val="10"/>
        </w:numPr>
        <w:ind w:left="720" w:hanging="36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Use effective written and oral communication skills, including the ability to engage in difficult and candid conversations with a variety of stakeholders. </w:t>
      </w:r>
    </w:p>
    <w:p w14:paraId="0E5E9178" w14:textId="77777777" w:rsidR="00341F87" w:rsidRPr="002E2DE1" w:rsidRDefault="00341F87" w:rsidP="00341F87">
      <w:pPr>
        <w:pStyle w:val="Default"/>
        <w:rPr>
          <w:rFonts w:ascii="Arial" w:hAnsi="Arial" w:cs="Arial"/>
          <w:sz w:val="22"/>
          <w:szCs w:val="22"/>
        </w:rPr>
      </w:pPr>
    </w:p>
    <w:p w14:paraId="5CFF59BF" w14:textId="77777777" w:rsidR="00341F87" w:rsidRPr="002E2DE1" w:rsidRDefault="00341F87" w:rsidP="00015234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b/>
          <w:bCs/>
          <w:sz w:val="22"/>
          <w:szCs w:val="22"/>
        </w:rPr>
        <w:t xml:space="preserve">DISPOSITIONS </w:t>
      </w:r>
    </w:p>
    <w:p w14:paraId="4B22D438" w14:textId="77777777" w:rsidR="00341F87" w:rsidRPr="002E2DE1" w:rsidRDefault="00341F87" w:rsidP="00015234">
      <w:pPr>
        <w:pStyle w:val="Defaul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A thorough understanding of the following is essential: </w:t>
      </w:r>
    </w:p>
    <w:p w14:paraId="12344E66" w14:textId="77777777" w:rsidR="00341F87" w:rsidRPr="002E2DE1" w:rsidRDefault="00341F87" w:rsidP="00015234">
      <w:pPr>
        <w:pStyle w:val="Default"/>
        <w:numPr>
          <w:ilvl w:val="1"/>
          <w:numId w:val="11"/>
        </w:numPr>
        <w:spacing w:after="37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Sense of urgency for mathematics achievement. </w:t>
      </w:r>
    </w:p>
    <w:p w14:paraId="7BB061AA" w14:textId="77777777" w:rsidR="00341F87" w:rsidRPr="002E2DE1" w:rsidRDefault="00341F87" w:rsidP="00015234">
      <w:pPr>
        <w:pStyle w:val="Default"/>
        <w:numPr>
          <w:ilvl w:val="1"/>
          <w:numId w:val="11"/>
        </w:numPr>
        <w:spacing w:after="37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Believing all teachers are mathematics teachers and all students are mathematics students. </w:t>
      </w:r>
    </w:p>
    <w:p w14:paraId="389FA2F4" w14:textId="77777777" w:rsidR="00341F87" w:rsidRPr="002E2DE1" w:rsidRDefault="00341F87" w:rsidP="00015234">
      <w:pPr>
        <w:pStyle w:val="Default"/>
        <w:numPr>
          <w:ilvl w:val="1"/>
          <w:numId w:val="11"/>
        </w:numPr>
        <w:spacing w:after="37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Motivating others to perform at high standards. </w:t>
      </w:r>
    </w:p>
    <w:p w14:paraId="5F3B4F91" w14:textId="77777777" w:rsidR="00341F87" w:rsidRPr="002E2DE1" w:rsidRDefault="00341F87" w:rsidP="00015234">
      <w:pPr>
        <w:pStyle w:val="Default"/>
        <w:numPr>
          <w:ilvl w:val="1"/>
          <w:numId w:val="11"/>
        </w:numPr>
        <w:spacing w:after="37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High degree of professionalism to ensure and protect the confidentiality of educators and students. </w:t>
      </w:r>
    </w:p>
    <w:p w14:paraId="01686138" w14:textId="77777777" w:rsidR="00341F87" w:rsidRPr="002E2DE1" w:rsidRDefault="00341F87" w:rsidP="00015234">
      <w:pPr>
        <w:pStyle w:val="Default"/>
        <w:numPr>
          <w:ilvl w:val="1"/>
          <w:numId w:val="11"/>
        </w:numPr>
        <w:spacing w:after="37"/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 xml:space="preserve">Strong work ethic, self-directed, and reliable, and the ability to work both independently and collaboratively. </w:t>
      </w:r>
    </w:p>
    <w:p w14:paraId="1D5FDCA5" w14:textId="77777777" w:rsidR="005F2647" w:rsidRPr="002E2DE1" w:rsidRDefault="00341F87" w:rsidP="00015234">
      <w:pPr>
        <w:pStyle w:val="Default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2E2DE1">
        <w:rPr>
          <w:rFonts w:ascii="Arial" w:hAnsi="Arial" w:cs="Arial"/>
          <w:sz w:val="22"/>
          <w:szCs w:val="22"/>
        </w:rPr>
        <w:t>High-quality interpersonal skills and the ability to relate to and interact with peers and colleagues.</w:t>
      </w:r>
    </w:p>
    <w:p w14:paraId="1C665845" w14:textId="332954FE" w:rsidR="00341F87" w:rsidRDefault="00341F87" w:rsidP="00015234">
      <w:pPr>
        <w:pStyle w:val="Default"/>
        <w:numPr>
          <w:ilvl w:val="1"/>
          <w:numId w:val="11"/>
        </w:numPr>
        <w:rPr>
          <w:sz w:val="23"/>
          <w:szCs w:val="23"/>
        </w:rPr>
      </w:pPr>
      <w:r w:rsidRPr="002E2DE1">
        <w:rPr>
          <w:rFonts w:ascii="Arial" w:hAnsi="Arial" w:cs="Arial"/>
          <w:sz w:val="22"/>
          <w:szCs w:val="22"/>
        </w:rPr>
        <w:t xml:space="preserve"> </w:t>
      </w:r>
      <w:r w:rsidR="001A29DF" w:rsidRPr="002E2DE1">
        <w:rPr>
          <w:rFonts w:ascii="Arial" w:hAnsi="Arial" w:cs="Arial"/>
          <w:sz w:val="22"/>
          <w:szCs w:val="22"/>
        </w:rPr>
        <w:t>Persistent despite obstacles; ability to orchestrate change; value lifelong learning; belief that a coach can make a difference, despite the nature of the challenges; desire to grow professionally; belief that all students can become</w:t>
      </w:r>
      <w:r w:rsidR="001A29DF">
        <w:rPr>
          <w:sz w:val="23"/>
          <w:szCs w:val="23"/>
        </w:rPr>
        <w:t xml:space="preserve"> proficient in mathematics. </w:t>
      </w:r>
    </w:p>
    <w:p w14:paraId="11BCCBBF" w14:textId="77777777" w:rsidR="00E62408" w:rsidRDefault="00E62408" w:rsidP="00E62408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Arial" w:eastAsia="Arial" w:hAnsi="Arial" w:cs="Arial"/>
          <w:color w:val="000000"/>
          <w:sz w:val="24"/>
          <w:szCs w:val="24"/>
        </w:rPr>
      </w:pPr>
    </w:p>
    <w:p w14:paraId="71786EB2" w14:textId="488F2ACC" w:rsidR="00E62408" w:rsidRPr="00015234" w:rsidRDefault="00E62408" w:rsidP="00E62408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Reports to: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SST Director</w:t>
      </w:r>
    </w:p>
    <w:p w14:paraId="343BA26B" w14:textId="77777777" w:rsidR="00E62408" w:rsidRDefault="00E62408" w:rsidP="00E6240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6ED2B12B" w14:textId="77777777" w:rsidR="00E62408" w:rsidRDefault="00E62408" w:rsidP="00E62408">
      <w:pPr>
        <w:spacing w:after="0"/>
        <w:ind w:left="2160" w:hanging="2160"/>
        <w:rPr>
          <w:rFonts w:ascii="Arial" w:eastAsia="Arial" w:hAnsi="Arial" w:cs="Arial"/>
        </w:rPr>
      </w:pPr>
      <w:r w:rsidRPr="00395608">
        <w:rPr>
          <w:rFonts w:ascii="Arial" w:eastAsia="Arial" w:hAnsi="Arial" w:cs="Arial"/>
          <w:b/>
          <w:bCs/>
        </w:rPr>
        <w:t>Compensation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 xml:space="preserve">Salary schedule placement commensurate with experience and training.  Salary, insurance coverage, and fringe benefits are determined per the current Board adopted policies and schedules. </w:t>
      </w:r>
    </w:p>
    <w:p w14:paraId="23E3B7B5" w14:textId="77777777" w:rsidR="00E62408" w:rsidRDefault="00E62408" w:rsidP="00E62408">
      <w:pPr>
        <w:spacing w:after="0"/>
        <w:rPr>
          <w:rFonts w:ascii="Arial" w:eastAsia="Arial" w:hAnsi="Arial" w:cs="Arial"/>
        </w:rPr>
      </w:pPr>
    </w:p>
    <w:p w14:paraId="720B629B" w14:textId="369B69EE" w:rsidR="00E62408" w:rsidRDefault="00E62408" w:rsidP="00E62408">
      <w:pPr>
        <w:spacing w:after="0"/>
        <w:rPr>
          <w:rFonts w:ascii="Arial" w:eastAsia="Arial" w:hAnsi="Arial" w:cs="Arial"/>
        </w:rPr>
      </w:pPr>
      <w:r w:rsidRPr="00395608">
        <w:rPr>
          <w:rFonts w:ascii="Arial" w:eastAsia="Arial" w:hAnsi="Arial" w:cs="Arial"/>
          <w:b/>
          <w:bCs/>
        </w:rPr>
        <w:t>DEADLINE FOR APPLICATION</w:t>
      </w:r>
      <w:r>
        <w:rPr>
          <w:rFonts w:ascii="Arial" w:eastAsia="Arial" w:hAnsi="Arial" w:cs="Arial"/>
        </w:rPr>
        <w:t>:   March 16, 2026</w:t>
      </w:r>
    </w:p>
    <w:p w14:paraId="39D2DBEE" w14:textId="77777777" w:rsidR="00E62408" w:rsidRDefault="00E62408" w:rsidP="00E62408">
      <w:pPr>
        <w:spacing w:after="0"/>
        <w:rPr>
          <w:rFonts w:ascii="Arial" w:eastAsia="Arial" w:hAnsi="Arial" w:cs="Arial"/>
        </w:rPr>
      </w:pPr>
      <w:r w:rsidRPr="00395608">
        <w:rPr>
          <w:rFonts w:ascii="Arial" w:eastAsia="Arial" w:hAnsi="Arial" w:cs="Arial"/>
          <w:b/>
          <w:bCs/>
        </w:rPr>
        <w:t>START DATE</w:t>
      </w:r>
      <w:r>
        <w:rPr>
          <w:rFonts w:ascii="Arial" w:eastAsia="Arial" w:hAnsi="Arial" w:cs="Arial"/>
        </w:rPr>
        <w:t>:  July 1, 2026</w:t>
      </w:r>
    </w:p>
    <w:p w14:paraId="694C0A75" w14:textId="77777777" w:rsidR="00E62408" w:rsidRPr="00C32636" w:rsidRDefault="00E62408" w:rsidP="00E62408">
      <w:pPr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To APPLY:  </w:t>
      </w:r>
      <w:r>
        <w:rPr>
          <w:rFonts w:ascii="Arial" w:eastAsia="Arial" w:hAnsi="Arial" w:cs="Arial"/>
          <w:bCs/>
          <w:sz w:val="24"/>
          <w:szCs w:val="24"/>
        </w:rPr>
        <w:t>Please complete the employment application through the online system (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Applitrack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) on the ESC webpage.</w:t>
      </w:r>
    </w:p>
    <w:p w14:paraId="253A11E8" w14:textId="77777777" w:rsidR="00E62408" w:rsidRDefault="00E62408" w:rsidP="00E6240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3FCDBE3C" w14:textId="77777777" w:rsidR="00E62408" w:rsidRDefault="00E62408" w:rsidP="00E6240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307CC2D" w14:textId="77777777" w:rsidR="00E62408" w:rsidRPr="006B7CB2" w:rsidRDefault="00E62408" w:rsidP="00E62408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6B7CB2">
        <w:rPr>
          <w:rFonts w:ascii="Arial" w:eastAsia="Arial" w:hAnsi="Arial" w:cs="Arial"/>
          <w:b/>
          <w:sz w:val="24"/>
          <w:szCs w:val="24"/>
        </w:rPr>
        <w:t xml:space="preserve">"Job performance is evaluated according to the policy provisions adopted by the Governing Board of the Educational Service Center of Central Ohio." </w:t>
      </w:r>
    </w:p>
    <w:p w14:paraId="6D30C604" w14:textId="77777777" w:rsidR="00E62408" w:rsidRDefault="00E62408" w:rsidP="00E6240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3298855" w14:textId="77777777" w:rsidR="00E62408" w:rsidRPr="00417802" w:rsidRDefault="00E62408" w:rsidP="00E62408">
      <w:pPr>
        <w:rPr>
          <w:rFonts w:ascii="Arial" w:eastAsia="Arial" w:hAnsi="Arial" w:cs="Arial"/>
          <w:sz w:val="24"/>
          <w:szCs w:val="24"/>
        </w:rPr>
      </w:pPr>
    </w:p>
    <w:p w14:paraId="6B5FE889" w14:textId="77777777" w:rsidR="00E62408" w:rsidRPr="00417802" w:rsidRDefault="00E62408" w:rsidP="00E62408">
      <w:pPr>
        <w:tabs>
          <w:tab w:val="left" w:pos="11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1E8E6DBB" w14:textId="77777777" w:rsidR="00041D7B" w:rsidRDefault="00041D7B"/>
    <w:sectPr w:rsidR="00041D7B" w:rsidSect="00E62408">
      <w:footerReference w:type="default" r:id="rId10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7231" w14:textId="77777777" w:rsidR="00A645E1" w:rsidRDefault="00A645E1">
      <w:pPr>
        <w:spacing w:after="0" w:line="240" w:lineRule="auto"/>
      </w:pPr>
      <w:r>
        <w:separator/>
      </w:r>
    </w:p>
  </w:endnote>
  <w:endnote w:type="continuationSeparator" w:id="0">
    <w:p w14:paraId="1869590A" w14:textId="77777777" w:rsidR="00A645E1" w:rsidRDefault="00A6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Mangal"/>
    <w:panose1 w:val="020B0604020202020204"/>
    <w:charset w:val="00"/>
    <w:family w:val="swiss"/>
    <w:pitch w:val="variable"/>
    <w:sig w:usb0="E00082FF" w:usb1="400078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CC" w14:textId="77777777" w:rsidR="00E62408" w:rsidRDefault="00E624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t>Revised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F9CC" w14:textId="77777777" w:rsidR="00A645E1" w:rsidRDefault="00A645E1">
      <w:pPr>
        <w:spacing w:after="0" w:line="240" w:lineRule="auto"/>
      </w:pPr>
      <w:r>
        <w:separator/>
      </w:r>
    </w:p>
  </w:footnote>
  <w:footnote w:type="continuationSeparator" w:id="0">
    <w:p w14:paraId="74A243C8" w14:textId="77777777" w:rsidR="00A645E1" w:rsidRDefault="00A6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97E306"/>
    <w:multiLevelType w:val="hybridMultilevel"/>
    <w:tmpl w:val="EA9883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94A1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D4AF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06F01AF"/>
    <w:multiLevelType w:val="hybridMultilevel"/>
    <w:tmpl w:val="89005B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F5F4DA1"/>
    <w:multiLevelType w:val="hybridMultilevel"/>
    <w:tmpl w:val="99B8B8E2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D5DAE"/>
    <w:multiLevelType w:val="multilevel"/>
    <w:tmpl w:val="50D6956E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E161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082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C8502A8"/>
    <w:multiLevelType w:val="multilevel"/>
    <w:tmpl w:val="4D4E20B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855"/>
    <w:multiLevelType w:val="hybridMultilevel"/>
    <w:tmpl w:val="9AD20C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B76292C"/>
    <w:multiLevelType w:val="hybridMultilevel"/>
    <w:tmpl w:val="685AD13E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18640">
    <w:abstractNumId w:val="5"/>
  </w:num>
  <w:num w:numId="2" w16cid:durableId="2121875422">
    <w:abstractNumId w:val="8"/>
  </w:num>
  <w:num w:numId="3" w16cid:durableId="381903253">
    <w:abstractNumId w:val="9"/>
  </w:num>
  <w:num w:numId="4" w16cid:durableId="324550877">
    <w:abstractNumId w:val="3"/>
  </w:num>
  <w:num w:numId="5" w16cid:durableId="1599290697">
    <w:abstractNumId w:val="6"/>
  </w:num>
  <w:num w:numId="6" w16cid:durableId="1700549544">
    <w:abstractNumId w:val="7"/>
  </w:num>
  <w:num w:numId="7" w16cid:durableId="338191462">
    <w:abstractNumId w:val="0"/>
  </w:num>
  <w:num w:numId="8" w16cid:durableId="1608467950">
    <w:abstractNumId w:val="1"/>
  </w:num>
  <w:num w:numId="9" w16cid:durableId="2089769650">
    <w:abstractNumId w:val="2"/>
  </w:num>
  <w:num w:numId="10" w16cid:durableId="1180579039">
    <w:abstractNumId w:val="10"/>
  </w:num>
  <w:num w:numId="11" w16cid:durableId="36949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08"/>
    <w:rsid w:val="00015234"/>
    <w:rsid w:val="00041D7B"/>
    <w:rsid w:val="001A29DF"/>
    <w:rsid w:val="002E2DE1"/>
    <w:rsid w:val="00341F87"/>
    <w:rsid w:val="004647F3"/>
    <w:rsid w:val="004B62C3"/>
    <w:rsid w:val="00520BED"/>
    <w:rsid w:val="0054248D"/>
    <w:rsid w:val="0056038A"/>
    <w:rsid w:val="005F2647"/>
    <w:rsid w:val="0060355A"/>
    <w:rsid w:val="006611BA"/>
    <w:rsid w:val="0068553E"/>
    <w:rsid w:val="007C6E64"/>
    <w:rsid w:val="00961F7C"/>
    <w:rsid w:val="00A645E1"/>
    <w:rsid w:val="00B9645E"/>
    <w:rsid w:val="00CB0BF5"/>
    <w:rsid w:val="00D6279E"/>
    <w:rsid w:val="00E00CE1"/>
    <w:rsid w:val="00E5365F"/>
    <w:rsid w:val="00E62408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FC505"/>
  <w15:chartTrackingRefBased/>
  <w15:docId w15:val="{D6EB490B-113B-0844-ACC4-EE980B10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0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1F8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CE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0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CE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d24ee-ca38-43fb-9996-5ae7bfc136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56671167C04B87A701B9958E6467" ma:contentTypeVersion="13" ma:contentTypeDescription="Create a new document." ma:contentTypeScope="" ma:versionID="2ab1d07459cfa27e9affaba463183ecc">
  <xsd:schema xmlns:xsd="http://www.w3.org/2001/XMLSchema" xmlns:xs="http://www.w3.org/2001/XMLSchema" xmlns:p="http://schemas.microsoft.com/office/2006/metadata/properties" xmlns:ns2="c52d24ee-ca38-43fb-9996-5ae7bfc136a4" xmlns:ns3="68abae48-3e44-4da7-8599-fd92d57aefcd" targetNamespace="http://schemas.microsoft.com/office/2006/metadata/properties" ma:root="true" ma:fieldsID="4b81739b1de87b949226e71657d32f5f" ns2:_="" ns3:_="">
    <xsd:import namespace="c52d24ee-ca38-43fb-9996-5ae7bfc136a4"/>
    <xsd:import namespace="68abae48-3e44-4da7-8599-fd92d57ae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24ee-ca38-43fb-9996-5ae7bfc1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2002cc-2213-4a88-871d-9f1610aff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bae48-3e44-4da7-8599-fd92d57ae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A8189-5D99-4EEF-9EC0-783A33EE7E8C}">
  <ds:schemaRefs>
    <ds:schemaRef ds:uri="http://schemas.microsoft.com/office/2006/metadata/properties"/>
    <ds:schemaRef ds:uri="http://schemas.microsoft.com/office/infopath/2007/PartnerControls"/>
    <ds:schemaRef ds:uri="c52d24ee-ca38-43fb-9996-5ae7bfc136a4"/>
  </ds:schemaRefs>
</ds:datastoreItem>
</file>

<file path=customXml/itemProps2.xml><?xml version="1.0" encoding="utf-8"?>
<ds:datastoreItem xmlns:ds="http://schemas.openxmlformats.org/officeDocument/2006/customXml" ds:itemID="{710F0DF7-4A10-4CF7-91C1-C0728C219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B5B16-5D16-462E-B847-B5E75AFF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24ee-ca38-43fb-9996-5ae7bfc136a4"/>
    <ds:schemaRef ds:uri="68abae48-3e44-4da7-8599-fd92d57ae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3948</Characters>
  <Application>Microsoft Office Word</Application>
  <DocSecurity>0</DocSecurity>
  <Lines>75</Lines>
  <Paragraphs>57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Ugochi Akoi</dc:creator>
  <cp:keywords/>
  <dc:description/>
  <cp:lastModifiedBy>Ugochi Akoi</cp:lastModifiedBy>
  <cp:revision>2</cp:revision>
  <dcterms:created xsi:type="dcterms:W3CDTF">2026-02-23T21:18:00Z</dcterms:created>
  <dcterms:modified xsi:type="dcterms:W3CDTF">2026-02-23T21:18:00Z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0x0101005A0756671167C04B87A701B9958E6467</vt:lpwstr>
  </property>
  <property fmtid="{D5CDD505-2E9C-101B-9397-08002B2CF9AE}" pid="3" name="MediaServiceImageTags">
    <vt:lpwstr/>
  </property>
</Properties>
</file>